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НАУКИ И ВЫСШЕГО ОБРАЗОВАНИЯ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«Московский государственный технический университет имени Н.Э. Баумана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(национальный исследовательский университет)»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ВЫПУСКНАЯ КВАЛИФИКАЦИОННАЯ РАБОТА 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курсу 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«Data Science»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bookmarkStart w:colFirst="0" w:colLast="0" w:name="_3rdcrjn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Прогнозирование конечных свойств новых материалов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(композиционных материалов)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Слушатель</w:t>
        <w:tab/>
        <w:tab/>
        <w:tab/>
        <w:tab/>
        <w:tab/>
        <w:t xml:space="preserve">Никитин Иван Сергеевич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(ФИО)</w:t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3240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3240"/>
        </w:tabs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2023</w:t>
      </w:r>
    </w:p>
    <w:p w:rsidR="00000000" w:rsidDel="00000000" w:rsidP="00000000" w:rsidRDefault="00000000" w:rsidRPr="00000000" w14:paraId="0000001E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Содержание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0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leader="none" w:pos="3240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3240"/>
        </w:tabs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23">
      <w:pPr>
        <w:tabs>
          <w:tab w:val="left" w:leader="none" w:pos="3240"/>
        </w:tabs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Аналитическая часть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24">
      <w:pPr>
        <w:tabs>
          <w:tab w:val="left" w:leader="none" w:pos="3240"/>
        </w:tabs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 Постановка задачи</w:t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25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Описание используемых методов </w:t>
        <w:tab/>
        <w:tab/>
        <w:tab/>
        <w:tab/>
        <w:t xml:space="preserve">6</w:t>
      </w:r>
    </w:p>
    <w:p w:rsidR="00000000" w:rsidDel="00000000" w:rsidP="00000000" w:rsidRDefault="00000000" w:rsidRPr="00000000" w14:paraId="00000026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1.3. Разведочный анализ данных</w:t>
        <w:tab/>
        <w:tab/>
        <w:tab/>
        <w:tab/>
        <w:tab/>
        <w:t xml:space="preserve">7</w:t>
      </w:r>
    </w:p>
    <w:p w:rsidR="00000000" w:rsidDel="00000000" w:rsidP="00000000" w:rsidRDefault="00000000" w:rsidRPr="00000000" w14:paraId="00000027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Практическая часть</w:t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ab/>
        <w:t xml:space="preserve">8</w:t>
      </w:r>
    </w:p>
    <w:p w:rsidR="00000000" w:rsidDel="00000000" w:rsidP="00000000" w:rsidRDefault="00000000" w:rsidRPr="00000000" w14:paraId="00000028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2.1. Предобработка данных</w:t>
        <w:tab/>
        <w:tab/>
        <w:tab/>
        <w:tab/>
        <w:tab/>
        <w:tab/>
        <w:t xml:space="preserve">8</w:t>
      </w:r>
    </w:p>
    <w:p w:rsidR="00000000" w:rsidDel="00000000" w:rsidP="00000000" w:rsidRDefault="00000000" w:rsidRPr="00000000" w14:paraId="00000029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2.2 Разработка и обучение модели</w:t>
        <w:tab/>
        <w:tab/>
        <w:tab/>
        <w:tab/>
        <w:tab/>
        <w:t xml:space="preserve">19</w:t>
      </w:r>
    </w:p>
    <w:p w:rsidR="00000000" w:rsidDel="00000000" w:rsidP="00000000" w:rsidRDefault="00000000" w:rsidRPr="00000000" w14:paraId="0000002A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2.3. Тестирование модели</w:t>
        <w:tab/>
        <w:tab/>
        <w:tab/>
        <w:tab/>
        <w:tab/>
        <w:tab/>
        <w:t xml:space="preserve">20</w:t>
      </w:r>
    </w:p>
    <w:p w:rsidR="00000000" w:rsidDel="00000000" w:rsidP="00000000" w:rsidRDefault="00000000" w:rsidRPr="00000000" w14:paraId="0000002B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2.4. Нейронная сеть для рекомендации соотношения матрица-наполнитель</w:t>
        <w:tab/>
        <w:tab/>
        <w:tab/>
        <w:tab/>
        <w:tab/>
        <w:tab/>
        <w:tab/>
        <w:t xml:space="preserve">21</w:t>
      </w:r>
    </w:p>
    <w:p w:rsidR="00000000" w:rsidDel="00000000" w:rsidP="00000000" w:rsidRDefault="00000000" w:rsidRPr="00000000" w14:paraId="0000002C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2.5 Создание Web приложения</w:t>
        <w:tab/>
        <w:tab/>
        <w:tab/>
        <w:tab/>
        <w:tab/>
        <w:t xml:space="preserve">24</w:t>
      </w:r>
    </w:p>
    <w:p w:rsidR="00000000" w:rsidDel="00000000" w:rsidP="00000000" w:rsidRDefault="00000000" w:rsidRPr="00000000" w14:paraId="0000002D">
      <w:pPr>
        <w:tabs>
          <w:tab w:val="left" w:leader="none" w:pos="3240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3240"/>
        </w:tabs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3240"/>
        </w:tabs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40"/>
        </w:tabs>
        <w:spacing w:after="0" w:before="0" w:line="360" w:lineRule="auto"/>
        <w:ind w:left="72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40"/>
        </w:tabs>
        <w:spacing w:after="0" w:before="0" w:line="360" w:lineRule="auto"/>
        <w:ind w:left="72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Композиционные материалы —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 е. компоненты материала неотделимы друг от друга без разрушения конструкции в целом. 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</w:t>
      </w:r>
    </w:p>
    <w:p w:rsidR="00000000" w:rsidDel="00000000" w:rsidP="00000000" w:rsidRDefault="00000000" w:rsidRPr="00000000" w14:paraId="0000003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Аналитическая часть</w:t>
      </w:r>
    </w:p>
    <w:p w:rsidR="00000000" w:rsidDel="00000000" w:rsidP="00000000" w:rsidRDefault="00000000" w:rsidRPr="00000000" w14:paraId="00000044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Постановка задачи</w:t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Даже если мы знаем характеристики исходных компонентов композитного материала,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Для проведения физических испытаний образцов тратится много денежных средств и времени. Можно попробовать решить задачу определения конечных свойств композитов путем прогнозирования этих свойств с помощью обученных моделей или нейронных сетей.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:rsidR="00000000" w:rsidDel="00000000" w:rsidP="00000000" w:rsidRDefault="00000000" w:rsidRPr="00000000" w14:paraId="0000004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:rsidR="00000000" w:rsidDel="00000000" w:rsidP="00000000" w:rsidRDefault="00000000" w:rsidRPr="00000000" w14:paraId="0000004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решения задачи прогнозирования конечных свойств новых материалов даны два файла в формате в формате exel-таблиц. В файлах представлены свойства композитов (Таблица 1, файл X_bp.xlsx, Таблица 2, файл X_nup.xlsx).</w:t>
      </w:r>
    </w:p>
    <w:p w:rsidR="00000000" w:rsidDel="00000000" w:rsidP="00000000" w:rsidRDefault="00000000" w:rsidRPr="00000000" w14:paraId="00000049">
      <w:pPr>
        <w:spacing w:line="360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Таблица1</w:t>
      </w:r>
    </w:p>
    <w:tbl>
      <w:tblPr>
        <w:tblStyle w:val="Table1"/>
        <w:tblW w:w="9090.000000000002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55"/>
        <w:gridCol w:w="853.5000000000001"/>
        <w:gridCol w:w="853.5000000000001"/>
        <w:gridCol w:w="853.5000000000001"/>
        <w:gridCol w:w="853.5000000000001"/>
        <w:gridCol w:w="853.5000000000001"/>
        <w:gridCol w:w="853.5000000000001"/>
        <w:gridCol w:w="853.5000000000001"/>
        <w:gridCol w:w="853.5000000000001"/>
        <w:gridCol w:w="853.5000000000001"/>
        <w:gridCol w:w="853.5000000000001"/>
        <w:tblGridChange w:id="0">
          <w:tblGrid>
            <w:gridCol w:w="555"/>
            <w:gridCol w:w="853.5000000000001"/>
            <w:gridCol w:w="853.5000000000001"/>
            <w:gridCol w:w="853.5000000000001"/>
            <w:gridCol w:w="853.5000000000001"/>
            <w:gridCol w:w="853.5000000000001"/>
            <w:gridCol w:w="853.5000000000001"/>
            <w:gridCol w:w="853.5000000000001"/>
            <w:gridCol w:w="853.5000000000001"/>
            <w:gridCol w:w="853.5000000000001"/>
            <w:gridCol w:w="853.5000000000001"/>
          </w:tblGrid>
        </w:tblGridChange>
      </w:tblGrid>
      <w:tr>
        <w:trPr>
          <w:cantSplit w:val="0"/>
          <w:trHeight w:val="1226.8652343749998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Соотношение матрица-наполнитель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Плотность, кг/м3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модуль упругости, ГПа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отвердителя, м.%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Содержание эпоксидных групп,%_2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Температура вспышки, С_2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Поверхностная плотность, г/м2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Модуль упругости при растяжении, ГПа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Прочность при растяжении, МПа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Потребление смолы, г/м2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1,857142857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738,7368421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22,26785714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220</w:t>
            </w:r>
          </w:p>
        </w:tc>
      </w:tr>
      <w:tr>
        <w:trPr>
          <w:cantSplit w:val="0"/>
          <w:trHeight w:val="3.9550781249998934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1,857142857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738,7368421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23,75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284,6153846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07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файле X_bp.xlsx 1023 элемента, в файле X_nup.xlsx 1040 элементов. Таблицы были объединены в одну методом INNER по индексу элемента. После объединения таблиц, количество элементов в рассматриваемом датасете составило 1023, а количество параметров равно 13. Далее было проверено наличие пропусков и дубликатов в рассматриваемом датасете (Рисунок 1). Дубликатов и пропусков не обнаружено.</w:t>
      </w:r>
    </w:p>
    <w:p w:rsidR="00000000" w:rsidDel="00000000" w:rsidP="00000000" w:rsidRDefault="00000000" w:rsidRPr="00000000" w14:paraId="00000078">
      <w:pPr>
        <w:spacing w:line="360" w:lineRule="auto"/>
        <w:ind w:left="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2.</w:t>
      </w:r>
    </w:p>
    <w:tbl>
      <w:tblPr>
        <w:tblStyle w:val="Table2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80"/>
        <w:gridCol w:w="2280"/>
        <w:gridCol w:w="2280"/>
        <w:gridCol w:w="2280"/>
        <w:tblGridChange w:id="0">
          <w:tblGrid>
            <w:gridCol w:w="2280"/>
            <w:gridCol w:w="2280"/>
            <w:gridCol w:w="2280"/>
            <w:gridCol w:w="228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Угол нашивки, град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Шаг нашивки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Плотность нашивки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</w:t>
            </w:r>
          </w:p>
        </w:tc>
      </w:tr>
    </w:tbl>
    <w:p w:rsidR="00000000" w:rsidDel="00000000" w:rsidP="00000000" w:rsidRDefault="00000000" w:rsidRPr="00000000" w14:paraId="0000008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14825" cy="381952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Поиск пропусков и дубликатов в данных</w:t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Данные в датасете принадлежат к числовому типу данных, в датасете есть параметр “Угол нашивки”, содержащий 2 значения.</w:t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95975" cy="367665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Рисунок 2 - Типы данных в датасете.</w:t>
      </w:r>
    </w:p>
    <w:p w:rsidR="00000000" w:rsidDel="00000000" w:rsidP="00000000" w:rsidRDefault="00000000" w:rsidRPr="00000000" w14:paraId="0000009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Описание используемых методов </w:t>
      </w:r>
    </w:p>
    <w:p w:rsidR="00000000" w:rsidDel="00000000" w:rsidP="00000000" w:rsidRDefault="00000000" w:rsidRPr="00000000" w14:paraId="0000009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1.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Линейная регрессия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Линейная регрессия (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англ.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Linear regression) — используемая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в статистике регрессионная модель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зависимости одной (объясняемой, зависимой) переменной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y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от другой или нескольких других переменных (факторов, регрессоров, независимых переменных)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x с линейной функцией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зависимости.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2.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Случайный лес</w:t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Random forest (с англ. — «случайный лес») — алгоритм машинного обучения, заключающийся в использовании комитета (ансамбля) решающих деревьев. Алгоритм сочетает в себе две основные идеи: метод бэггинга, и метод случайных подпространств. Алгоритм применяется для задач классификации, регрессии и кластеризации. Основная идея заключается в использовании большого ансамбля решающих деревьев, каждое из которых само по себе даёт очень невысокое качество классификации, но за счёт их большого количества результат получается хорошим. </w:t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3.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Метод k-ближайших соседей</w:t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Метод k-ближайших соседей 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k-nearest neighbors algorithm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, k- NN)  - метрический алгоритм для автоматической классификации объектов или регрессии. В случае использования метода для классификации объект присваивается тому классу, который является наиболее распространённым среди соседей данного элемента, классы которых уже известны. В случае использования метода для регрессии, объекту присваивается среднее значение по ближайшим к нему объектам, значения которых уже известны. </w:t>
      </w:r>
    </w:p>
    <w:p w:rsidR="00000000" w:rsidDel="00000000" w:rsidP="00000000" w:rsidRDefault="00000000" w:rsidRPr="00000000" w14:paraId="0000009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4.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Многослойный перцептрон</w:t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Многослойный персептрон — это класс искусственных нейронных сетей прямого распространения, состоящих как минимум из трех слоёв: входного, скрытого и выходного. За исключением входных, все нейроны использует нелинейную функцию активации. При обучении MLP используется обучение с учителем и алгоритм обратного распространения ошибки. </w:t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1.3. Разведочный анализ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240" w:before="240" w:line="360" w:lineRule="auto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Разведочный анализ данных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02122"/>
          <w:sz w:val="28"/>
          <w:szCs w:val="28"/>
          <w:highlight w:val="white"/>
          <w:rtl w:val="0"/>
        </w:rPr>
        <w:t xml:space="preserve">Exploratory data analysis, EDA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) — анализ основных свойств данных, нахождение в них общих закономерностей, распределений и аномалий, построение начальных моделей, зачастую с использованием инструментов визуализации.</w:t>
      </w:r>
    </w:p>
    <w:p w:rsidR="00000000" w:rsidDel="00000000" w:rsidP="00000000" w:rsidRDefault="00000000" w:rsidRPr="00000000" w14:paraId="0000009E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 проекте были использованы следующие методы разведочного анализа данных: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shd w:fill="ffffff" w:val="clear"/>
        <w:spacing w:after="0" w:afterAutospacing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Визуальный анализ гистограмм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Визуальный анализ диаграмм размаха («ящик с усами»)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Проверка нормальности распределения по критерию Пирсона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Анализ попарных графиков рассеяния переменных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hd w:fill="ffffff" w:val="clear"/>
        <w:spacing w:after="24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Корреляционный анализ c целью поиска коэффициентов </w:t>
      </w:r>
    </w:p>
    <w:p w:rsidR="00000000" w:rsidDel="00000000" w:rsidP="00000000" w:rsidRDefault="00000000" w:rsidRPr="00000000" w14:paraId="000000A4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32"/>
          <w:szCs w:val="32"/>
          <w:highlight w:val="white"/>
          <w:rtl w:val="0"/>
        </w:rPr>
        <w:t xml:space="preserve">2. Практическая часть </w:t>
      </w:r>
    </w:p>
    <w:p w:rsidR="00000000" w:rsidDel="00000000" w:rsidP="00000000" w:rsidRDefault="00000000" w:rsidRPr="00000000" w14:paraId="000000A5">
      <w:pPr>
        <w:shd w:fill="ffffff" w:val="clear"/>
        <w:spacing w:after="240" w:before="240" w:line="360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2.1. Предобработка данных</w:t>
      </w:r>
    </w:p>
    <w:p w:rsidR="00000000" w:rsidDel="00000000" w:rsidP="00000000" w:rsidRDefault="00000000" w:rsidRPr="00000000" w14:paraId="000000A6">
      <w:pPr>
        <w:shd w:fill="ffffff" w:val="clear"/>
        <w:spacing w:after="240" w:before="240" w:line="360" w:lineRule="auto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Для каждого параметра построены гистограммы распределения.</w:t>
      </w:r>
    </w:p>
    <w:p w:rsidR="00000000" w:rsidDel="00000000" w:rsidP="00000000" w:rsidRDefault="00000000" w:rsidRPr="00000000" w14:paraId="000000A7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3. Гистограмма: Соотношение матрица-наполнитель.</w:t>
      </w:r>
    </w:p>
    <w:p w:rsidR="00000000" w:rsidDel="00000000" w:rsidP="00000000" w:rsidRDefault="00000000" w:rsidRPr="00000000" w14:paraId="000000A8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00533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0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4. Гистограмма: Плотность, кг/м3.</w:t>
      </w:r>
    </w:p>
    <w:p w:rsidR="00000000" w:rsidDel="00000000" w:rsidP="00000000" w:rsidRDefault="00000000" w:rsidRPr="00000000" w14:paraId="000000AA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5. Гистограмма: Модуль упругости, Гпа.</w:t>
      </w:r>
    </w:p>
    <w:p w:rsidR="00000000" w:rsidDel="00000000" w:rsidP="00000000" w:rsidRDefault="00000000" w:rsidRPr="00000000" w14:paraId="000000AC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305425" cy="353377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6. Гистограмма: Количество отвердителя, м.%.</w:t>
      </w:r>
    </w:p>
    <w:p w:rsidR="00000000" w:rsidDel="00000000" w:rsidP="00000000" w:rsidRDefault="00000000" w:rsidRPr="00000000" w14:paraId="000000AE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7. Гистограмма: Содержание эпоксидных групп, %_2.</w:t>
      </w:r>
    </w:p>
    <w:p w:rsidR="00000000" w:rsidDel="00000000" w:rsidP="00000000" w:rsidRDefault="00000000" w:rsidRPr="00000000" w14:paraId="000000B3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8. Гистограмма: Температура вспышки С_2.</w:t>
      </w:r>
    </w:p>
    <w:p w:rsidR="00000000" w:rsidDel="00000000" w:rsidP="00000000" w:rsidRDefault="00000000" w:rsidRPr="00000000" w14:paraId="000000B5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9. Гистограмма: Поверхностная плотность, г/м2.</w:t>
      </w:r>
    </w:p>
    <w:p w:rsidR="00000000" w:rsidDel="00000000" w:rsidP="00000000" w:rsidRDefault="00000000" w:rsidRPr="00000000" w14:paraId="000000B8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10. Гистограмма: Модуль упругости при растяжении, ГПа.</w:t>
      </w:r>
    </w:p>
    <w:p w:rsidR="00000000" w:rsidDel="00000000" w:rsidP="00000000" w:rsidRDefault="00000000" w:rsidRPr="00000000" w14:paraId="000000BA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11. Гистограмма: Прочность при растяжении, МПа.</w:t>
      </w:r>
    </w:p>
    <w:p w:rsidR="00000000" w:rsidDel="00000000" w:rsidP="00000000" w:rsidRDefault="00000000" w:rsidRPr="00000000" w14:paraId="000000BE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12. Гистограмма: Потребление смолы, г/м2.</w:t>
      </w:r>
    </w:p>
    <w:p w:rsidR="00000000" w:rsidDel="00000000" w:rsidP="00000000" w:rsidRDefault="00000000" w:rsidRPr="00000000" w14:paraId="000000C0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13. Гистограмма: Угол нашивки.</w:t>
      </w:r>
    </w:p>
    <w:p w:rsidR="00000000" w:rsidDel="00000000" w:rsidP="00000000" w:rsidRDefault="00000000" w:rsidRPr="00000000" w14:paraId="000000C4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14. Гистограмма: Шаг нашивки.</w:t>
      </w:r>
    </w:p>
    <w:p w:rsidR="00000000" w:rsidDel="00000000" w:rsidP="00000000" w:rsidRDefault="00000000" w:rsidRPr="00000000" w14:paraId="000000C6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15. Гистограмма: Плотность нашивки.</w:t>
      </w:r>
    </w:p>
    <w:p w:rsidR="00000000" w:rsidDel="00000000" w:rsidP="00000000" w:rsidRDefault="00000000" w:rsidRPr="00000000" w14:paraId="000000CA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5143500" cy="3533775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На гистограммах можно увидеть, что распределения параметров являются нормальными или близкими к нормальному.</w:t>
      </w:r>
    </w:p>
    <w:p w:rsidR="00000000" w:rsidDel="00000000" w:rsidP="00000000" w:rsidRDefault="00000000" w:rsidRPr="00000000" w14:paraId="000000CC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Распределения переменных были проверены на нормальность по критерию Пирсона (Рисунок 16).</w:t>
      </w:r>
    </w:p>
    <w:p w:rsidR="00000000" w:rsidDel="00000000" w:rsidP="00000000" w:rsidRDefault="00000000" w:rsidRPr="00000000" w14:paraId="000000CD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16. Проверка распределения по критерию Пирсона.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462967</wp:posOffset>
            </wp:positionV>
            <wp:extent cx="6798830" cy="2287457"/>
            <wp:effectExtent b="0" l="0" r="0" t="0"/>
            <wp:wrapTopAndBottom distB="114300" distT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8830" cy="2287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ab/>
        <w:t xml:space="preserve">Построены диаграммы размаха «ящик с усами» для определения выбросов (Рисунок 17).</w:t>
      </w:r>
    </w:p>
    <w:p w:rsidR="00000000" w:rsidDel="00000000" w:rsidP="00000000" w:rsidRDefault="00000000" w:rsidRPr="00000000" w14:paraId="000000D0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17. Диаграммы размаха переменных до удаления выбросов.</w:t>
      </w:r>
    </w:p>
    <w:p w:rsidR="00000000" w:rsidDel="00000000" w:rsidP="00000000" w:rsidRDefault="00000000" w:rsidRPr="00000000" w14:paraId="000000D1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59690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На диаграммах видно наличие выбросов. Выбросами являются точки, превышающие 1,5 межквартильного расстояния. Межквартильное расстояние — это разница между 1-м и 3-м квартилями, т.е. между 25-м и 75-м процентилями.</w:t>
      </w:r>
    </w:p>
    <w:p w:rsidR="00000000" w:rsidDel="00000000" w:rsidP="00000000" w:rsidRDefault="00000000" w:rsidRPr="00000000" w14:paraId="000000D3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Данные, выходящие за пределы 1,5 межквартильных расстояния, были заменены на пустые значения и посчитаны. Их кол-во оказалось небольшим, было принято решение удалить строки, содержащие выбросы. (Рисунок 18)</w:t>
      </w:r>
    </w:p>
    <w:p w:rsidR="00000000" w:rsidDel="00000000" w:rsidP="00000000" w:rsidRDefault="00000000" w:rsidRPr="00000000" w14:paraId="000000D4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18. Диаграммы размаха переменных после удаления выбросов.</w:t>
      </w:r>
    </w:p>
    <w:p w:rsidR="00000000" w:rsidDel="00000000" w:rsidP="00000000" w:rsidRDefault="00000000" w:rsidRPr="00000000" w14:paraId="000000D5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59690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После очистки датасета от выбросов была проведена нормализация данных функцией MinMaxScaler из библиотеки sklearn. Данные были приведены к общей шкале, в которой минимальное значение параметра принимало 0, а максимальное 1. (Рисунок 19)</w:t>
      </w:r>
    </w:p>
    <w:p w:rsidR="00000000" w:rsidDel="00000000" w:rsidP="00000000" w:rsidRDefault="00000000" w:rsidRPr="00000000" w14:paraId="000000D7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19. Описательная статистика нормализованных данных.</w:t>
      </w:r>
    </w:p>
    <w:p w:rsidR="00000000" w:rsidDel="00000000" w:rsidP="00000000" w:rsidRDefault="00000000" w:rsidRPr="00000000" w14:paraId="000000D8">
      <w:pPr>
        <w:shd w:fill="ffffff" w:val="clear"/>
        <w:spacing w:after="240" w:before="240" w:line="360" w:lineRule="auto"/>
        <w:ind w:left="0" w:firstLine="720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1051</wp:posOffset>
            </wp:positionH>
            <wp:positionV relativeFrom="paragraph">
              <wp:posOffset>304800</wp:posOffset>
            </wp:positionV>
            <wp:extent cx="6117150" cy="3416300"/>
            <wp:effectExtent b="0" l="0" r="0" t="0"/>
            <wp:wrapSquare wrapText="bothSides" distB="114300" distT="114300" distL="114300" distR="1143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1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График попарной зависимости переменных (Рисунок 20) был построен для всех параметров. На графике синим выделены точки для угла нашивки равного 0 градусов, а оранжевым для угла нашивки равного 90 градусам. Согласно графику ни для одной пары переменных не прослеживается какая-либо зависимость. Это подтверждается матрицей корреляции (Рисунок 21), в которой максимальное значение корреляции равно 0.093 между параметрами Плотность нашивки и угол нашивки. Корреляция близка к 0, что говорит о том, что переменные не связаны между собой.</w:t>
      </w:r>
    </w:p>
    <w:p w:rsidR="00000000" w:rsidDel="00000000" w:rsidP="00000000" w:rsidRDefault="00000000" w:rsidRPr="00000000" w14:paraId="000000DA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20. График попарной зависимости переменных.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57912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21. Матрица корреляции данных.</w:t>
      </w:r>
    </w:p>
    <w:p w:rsidR="00000000" w:rsidDel="00000000" w:rsidP="00000000" w:rsidRDefault="00000000" w:rsidRPr="00000000" w14:paraId="000000E6">
      <w:pPr>
        <w:shd w:fill="ffffff" w:val="clear"/>
        <w:spacing w:after="240" w:before="240" w:line="360" w:lineRule="auto"/>
        <w:ind w:left="0" w:firstLine="72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2.2 Разработка и обучение модели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226721</wp:posOffset>
            </wp:positionV>
            <wp:extent cx="6117150" cy="5041900"/>
            <wp:effectExtent b="0" l="0" r="0" t="0"/>
            <wp:wrapTopAndBottom distB="114300" distT="11430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504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Согласно поставленной задаче, данные были разделены на обучающую и тестовую выборки в соотношении 70/30. Для каждой модели был создан словарь с гиперпараметрами. С помощью поиска по сетке с перекрестной проверкой, количество блоков равно 10, были найдены лучшие гиперпараметры для каждой модели. Каждая модель с лучшими гиперпараметрами давала свои прогнозы на тестовой выборке. В качестве параметров оценки моделей были выбраны: Средняя абсолютная ошибка (МАЕ) и коэффициент детерминации (R2).</w:t>
      </w:r>
    </w:p>
    <w:p w:rsidR="00000000" w:rsidDel="00000000" w:rsidP="00000000" w:rsidRDefault="00000000" w:rsidRPr="00000000" w14:paraId="000000E8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 ходе выполнения проекта в качестве моделей для прогноза модуля упругости при растяжении и прочности при растяжении были использованы:</w:t>
      </w:r>
    </w:p>
    <w:p w:rsidR="00000000" w:rsidDel="00000000" w:rsidP="00000000" w:rsidRDefault="00000000" w:rsidRPr="00000000" w14:paraId="000000E9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• Метод k-ближайших соседей</w:t>
      </w:r>
    </w:p>
    <w:p w:rsidR="00000000" w:rsidDel="00000000" w:rsidP="00000000" w:rsidRDefault="00000000" w:rsidRPr="00000000" w14:paraId="000000EA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• Стохастический градиентный спуск</w:t>
      </w:r>
    </w:p>
    <w:p w:rsidR="00000000" w:rsidDel="00000000" w:rsidP="00000000" w:rsidRDefault="00000000" w:rsidRPr="00000000" w14:paraId="000000EB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• Линейная регрессия</w:t>
      </w:r>
    </w:p>
    <w:p w:rsidR="00000000" w:rsidDel="00000000" w:rsidP="00000000" w:rsidRDefault="00000000" w:rsidRPr="00000000" w14:paraId="000000EC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• Случайный лес</w:t>
      </w:r>
    </w:p>
    <w:p w:rsidR="00000000" w:rsidDel="00000000" w:rsidP="00000000" w:rsidRDefault="00000000" w:rsidRPr="00000000" w14:paraId="000000ED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2.3. Тестирование модели</w:t>
      </w:r>
    </w:p>
    <w:p w:rsidR="00000000" w:rsidDel="00000000" w:rsidP="00000000" w:rsidRDefault="00000000" w:rsidRPr="00000000" w14:paraId="000000EE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Создается объект модели. Далее создается сетка гиперпараметров, в данном случае словарь с названием гиперпараметра и его возможными значениями. Следующим шагом объявленная модель и сетка гиперпараметров подаются в поиск по сетке и объявляется кол-во блоков равное 10, т.е. тренировочные данные делятся на 10 равных частей. Далее, для каждого возможного сочетания значений гиперпараметров, метод считает ошибку и в конце выбирает сочетание, при котором ошибка минимальна. С помощью лучшей модели прогнозируются значения на тестовой выборке, результаты средней абсолютной ошибки и коэффициента детерминации заносятся в сводную таблицу (Рисунок 22).</w:t>
      </w:r>
    </w:p>
    <w:p w:rsidR="00000000" w:rsidDel="00000000" w:rsidP="00000000" w:rsidRDefault="00000000" w:rsidRPr="00000000" w14:paraId="000000EF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Для прогноза модуля упругости при растяжении лучше всего показала результаты модель стахастического градиентного спуска со средней абсолютной ошибкой = 2.53 Гпа, как и для прогноза прочности при растяжении со средней абсолютной ошибкой = 365.86 Мпа.</w:t>
      </w:r>
    </w:p>
    <w:p w:rsidR="00000000" w:rsidDel="00000000" w:rsidP="00000000" w:rsidRDefault="00000000" w:rsidRPr="00000000" w14:paraId="000000F0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При этом, во всех использованных моделях коэффициент детерминации очень близок к 0, это говорит о том, что результат использования моделей не точнее использования для прогноза среднего значения прогнозируемого параметра.</w:t>
      </w:r>
    </w:p>
    <w:p w:rsidR="00000000" w:rsidDel="00000000" w:rsidP="00000000" w:rsidRDefault="00000000" w:rsidRPr="00000000" w14:paraId="000000F1">
      <w:pPr>
        <w:shd w:fill="ffffff" w:val="clear"/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ffffff" w:val="clear"/>
        <w:spacing w:after="240" w:before="240" w:line="360" w:lineRule="auto"/>
        <w:ind w:left="0" w:firstLine="0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22. Сводная таблица результатов работы моделей.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29083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2.4. Нейронная сеть для рекомендации соотношения матрица-наполнитель</w:t>
      </w:r>
    </w:p>
    <w:p w:rsidR="00000000" w:rsidDel="00000000" w:rsidP="00000000" w:rsidRDefault="00000000" w:rsidRPr="00000000" w14:paraId="000000F4">
      <w:pPr>
        <w:shd w:fill="ffffff" w:val="clear"/>
        <w:spacing w:after="240" w:before="240" w:line="360" w:lineRule="auto"/>
        <w:ind w:left="0" w:firstLine="72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Нейронная сеть была написана с помощью библиотеки Keras на языке программирования Python.</w:t>
      </w:r>
    </w:p>
    <w:p w:rsidR="00000000" w:rsidDel="00000000" w:rsidP="00000000" w:rsidRDefault="00000000" w:rsidRPr="00000000" w14:paraId="000000F5">
      <w:pPr>
        <w:shd w:fill="ffffff" w:val="clear"/>
        <w:spacing w:after="240" w:before="240" w:line="360" w:lineRule="auto"/>
        <w:ind w:left="0" w:firstLine="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Характеристики нейронной сети для прогноза соотношения матрица- наполнитель:</w:t>
      </w:r>
    </w:p>
    <w:p w:rsidR="00000000" w:rsidDel="00000000" w:rsidP="00000000" w:rsidRDefault="00000000" w:rsidRPr="00000000" w14:paraId="000000F6">
      <w:pPr>
        <w:numPr>
          <w:ilvl w:val="0"/>
          <w:numId w:val="1"/>
        </w:numPr>
        <w:shd w:fill="ffffff" w:val="clear"/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Последовательная модель (Sequential) нейронной сети</w:t>
      </w:r>
    </w:p>
    <w:p w:rsidR="00000000" w:rsidDel="00000000" w:rsidP="00000000" w:rsidRDefault="00000000" w:rsidRPr="00000000" w14:paraId="000000F7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Модель состоит из 3 скрытых Dense слоев, количество нейронов в которых равно 128, 64, 1 и выходного слоя с одним нейроном. Функция активации слоев – selu (Масштабная экспоненциальная линейная единица).</w:t>
      </w:r>
    </w:p>
    <w:p w:rsidR="00000000" w:rsidDel="00000000" w:rsidP="00000000" w:rsidRDefault="00000000" w:rsidRPr="00000000" w14:paraId="000000F8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Используются слои Batch-Normalization (Пакетная нормализация (англ. batch-normalization) — метод, который позволяет повысить производительность и стабилизировать работу искусственных нейронных сетей. Суть данного метода заключается в том, что некоторым слоям нейронной сети на вход подаются данные, предварительно обработанные и имеющие нулевое математическое ожидание и единичную дисперсию.)</w:t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В качестве оптимизатора нейронной сети используется SGD (стохастический градиентный спуск) с импульсом ускорения = 0.5.</w:t>
      </w:r>
    </w:p>
    <w:p w:rsidR="00000000" w:rsidDel="00000000" w:rsidP="00000000" w:rsidRDefault="00000000" w:rsidRPr="00000000" w14:paraId="000000FA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Размер батча при обучении – 64</w:t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Кол-во эпох обучения – 100</w:t>
      </w:r>
    </w:p>
    <w:p w:rsidR="00000000" w:rsidDel="00000000" w:rsidP="00000000" w:rsidRDefault="00000000" w:rsidRPr="00000000" w14:paraId="000000FC">
      <w:pPr>
        <w:numPr>
          <w:ilvl w:val="0"/>
          <w:numId w:val="1"/>
        </w:numPr>
        <w:shd w:fill="ffffff" w:val="clear"/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Размер валидационной выборки – 20% от размера обучающей выборки</w:t>
      </w:r>
    </w:p>
    <w:p w:rsidR="00000000" w:rsidDel="00000000" w:rsidP="00000000" w:rsidRDefault="00000000" w:rsidRPr="00000000" w14:paraId="000000FD">
      <w:pP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23. Структура нейронной сети.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933450</wp:posOffset>
            </wp:positionH>
            <wp:positionV relativeFrom="paragraph">
              <wp:posOffset>428625</wp:posOffset>
            </wp:positionV>
            <wp:extent cx="4048125" cy="1857375"/>
            <wp:effectExtent b="0" l="0" r="0" t="0"/>
            <wp:wrapTopAndBottom distB="114300" distT="11430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5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24. График потерь нейронной сети на валидационной и тестовой выборке.</w:t>
      </w:r>
    </w:p>
    <w:p w:rsidR="00000000" w:rsidDel="00000000" w:rsidP="00000000" w:rsidRDefault="00000000" w:rsidRPr="00000000" w14:paraId="00000100">
      <w:pPr>
        <w:shd w:fill="ffffff" w:val="clear"/>
        <w:spacing w:after="240" w:before="240" w:line="360" w:lineRule="auto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34417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25. График прогнозных значений нейронной сети.</w:t>
      </w:r>
    </w:p>
    <w:p w:rsidR="00000000" w:rsidDel="00000000" w:rsidP="00000000" w:rsidRDefault="00000000" w:rsidRPr="00000000" w14:paraId="00000103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7150" cy="3378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На графике прогнозных значений нейронной сети (Рисунок 25) можно увидеть, что построенная модель нейронной сети не так хорошо прогнозирует значения на тестовой выборке данных, хотя местами правильно предсказывает направление тренда и величину прогнозного значения.</w:t>
      </w:r>
    </w:p>
    <w:p w:rsidR="00000000" w:rsidDel="00000000" w:rsidP="00000000" w:rsidRDefault="00000000" w:rsidRPr="00000000" w14:paraId="00000105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Рисунок 26. График рассеивания тестовых и прогнозных значений.</w:t>
      </w:r>
    </w:p>
    <w:p w:rsidR="00000000" w:rsidDel="00000000" w:rsidP="00000000" w:rsidRDefault="00000000" w:rsidRPr="00000000" w14:paraId="00000106">
      <w:pPr>
        <w:shd w:fill="ffffff" w:val="clear"/>
        <w:spacing w:after="240" w:before="240" w:line="360" w:lineRule="auto"/>
        <w:jc w:val="center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6115050" cy="3267938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6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На графике рассеяния тестовых и прогнозных значений (Рисунок 26) можно увидеть, что нейронная сеть показывает не самый лучший результат прогноза. В идеальном варианте точки тестовых и прогнозных значений должны выстроиться в прямую линию под углом 45°.</w:t>
      </w:r>
    </w:p>
    <w:p w:rsidR="00000000" w:rsidDel="00000000" w:rsidP="00000000" w:rsidRDefault="00000000" w:rsidRPr="00000000" w14:paraId="00000108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Результат средней абсолютной ошибки нейронной сети на тестовой выборке равен 0.8698.</w:t>
      </w:r>
    </w:p>
    <w:p w:rsidR="00000000" w:rsidDel="00000000" w:rsidP="00000000" w:rsidRDefault="00000000" w:rsidRPr="00000000" w14:paraId="00000109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Результат средней абсолютной ошибки при прогнозе соотношения матрица-наполнитель средним значением этой переменной равен 0.74.</w:t>
      </w:r>
    </w:p>
    <w:p w:rsidR="00000000" w:rsidDel="00000000" w:rsidP="00000000" w:rsidRDefault="00000000" w:rsidRPr="00000000" w14:paraId="0000010A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2.5 Создание Web приложения</w:t>
      </w:r>
    </w:p>
    <w:p w:rsidR="00000000" w:rsidDel="00000000" w:rsidP="00000000" w:rsidRDefault="00000000" w:rsidRPr="00000000" w14:paraId="0000010B">
      <w:pPr>
        <w:shd w:fill="ffffff" w:val="clear"/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ffffff" w:val="clear"/>
        <w:spacing w:after="240" w:before="240" w:line="360" w:lineRule="auto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spacing w:after="240" w:before="240" w:line="360" w:lineRule="auto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32" w:type="default"/>
      <w:footerReference r:id="rId33" w:type="default"/>
      <w:footerReference r:id="rId34" w:type="first"/>
      <w:pgSz w:h="16834" w:w="11909" w:orient="portrait"/>
      <w:pgMar w:bottom="664.8425196850417" w:top="1133.8582677165355" w:left="1440" w:right="832.2047244094489" w:header="720.0000000000001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E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3886200</wp:posOffset>
          </wp:positionH>
          <wp:positionV relativeFrom="paragraph">
            <wp:posOffset>-457199</wp:posOffset>
          </wp:positionV>
          <wp:extent cx="2724150" cy="742950"/>
          <wp:effectExtent b="0" l="0" r="0" t="0"/>
          <wp:wrapNone/>
          <wp:docPr id="8" name="image19.png"/>
          <a:graphic>
            <a:graphicData uri="http://schemas.openxmlformats.org/drawingml/2006/picture">
              <pic:pic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4.png"/><Relationship Id="rId21" Type="http://schemas.openxmlformats.org/officeDocument/2006/relationships/image" Target="media/image15.png"/><Relationship Id="rId24" Type="http://schemas.openxmlformats.org/officeDocument/2006/relationships/image" Target="media/image1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1.png"/><Relationship Id="rId25" Type="http://schemas.openxmlformats.org/officeDocument/2006/relationships/image" Target="media/image26.png"/><Relationship Id="rId28" Type="http://schemas.openxmlformats.org/officeDocument/2006/relationships/image" Target="media/image16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3.png"/><Relationship Id="rId7" Type="http://schemas.openxmlformats.org/officeDocument/2006/relationships/image" Target="media/image27.png"/><Relationship Id="rId8" Type="http://schemas.openxmlformats.org/officeDocument/2006/relationships/image" Target="media/image4.png"/><Relationship Id="rId31" Type="http://schemas.openxmlformats.org/officeDocument/2006/relationships/image" Target="media/image20.png"/><Relationship Id="rId30" Type="http://schemas.openxmlformats.org/officeDocument/2006/relationships/image" Target="media/image1.png"/><Relationship Id="rId11" Type="http://schemas.openxmlformats.org/officeDocument/2006/relationships/image" Target="media/image11.png"/><Relationship Id="rId33" Type="http://schemas.openxmlformats.org/officeDocument/2006/relationships/footer" Target="footer1.xml"/><Relationship Id="rId10" Type="http://schemas.openxmlformats.org/officeDocument/2006/relationships/image" Target="media/image2.png"/><Relationship Id="rId32" Type="http://schemas.openxmlformats.org/officeDocument/2006/relationships/header" Target="header1.xml"/><Relationship Id="rId13" Type="http://schemas.openxmlformats.org/officeDocument/2006/relationships/image" Target="media/image12.png"/><Relationship Id="rId12" Type="http://schemas.openxmlformats.org/officeDocument/2006/relationships/image" Target="media/image5.png"/><Relationship Id="rId34" Type="http://schemas.openxmlformats.org/officeDocument/2006/relationships/footer" Target="footer2.xml"/><Relationship Id="rId15" Type="http://schemas.openxmlformats.org/officeDocument/2006/relationships/image" Target="media/image23.png"/><Relationship Id="rId14" Type="http://schemas.openxmlformats.org/officeDocument/2006/relationships/image" Target="media/image25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